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82F" w:rsidRPr="0071382F" w:rsidRDefault="0071382F" w:rsidP="00B20C01">
      <w:pPr>
        <w:pStyle w:val="1"/>
      </w:pPr>
      <w:r w:rsidRPr="0071382F">
        <w:t>程序化</w:t>
      </w:r>
      <w:r>
        <w:rPr>
          <w:rFonts w:hint="eastAsia"/>
        </w:rPr>
        <w:t>交易、</w:t>
      </w:r>
      <w:r w:rsidRPr="0071382F">
        <w:t>算法</w:t>
      </w:r>
      <w:r>
        <w:rPr>
          <w:rFonts w:hint="eastAsia"/>
        </w:rPr>
        <w:t>交易</w:t>
      </w:r>
      <w:r w:rsidRPr="0071382F">
        <w:t>及高频交易区别</w:t>
      </w:r>
      <w:r w:rsidRPr="0071382F">
        <w:t xml:space="preserve"> </w:t>
      </w:r>
    </w:p>
    <w:p w:rsidR="0071382F" w:rsidRPr="0071382F" w:rsidRDefault="0071382F" w:rsidP="0071382F">
      <w:r w:rsidRPr="0071382F">
        <w:t>一、程序化交易、算法交易的概念</w:t>
      </w:r>
    </w:p>
    <w:p w:rsidR="0071382F" w:rsidRPr="0071382F" w:rsidRDefault="0071382F" w:rsidP="0071382F">
      <w:r w:rsidRPr="0071382F">
        <w:t> </w:t>
      </w:r>
    </w:p>
    <w:p w:rsidR="0071382F" w:rsidRPr="0071382F" w:rsidRDefault="0071382F" w:rsidP="0071382F">
      <w:r w:rsidRPr="0071382F">
        <w:t xml:space="preserve">       </w:t>
      </w:r>
      <w:r w:rsidRPr="0071382F">
        <w:t>关于程序化交易、算法交易以及高频交易，国际上学术界与产业界并没有统一的权威定义，并且这些概念及理解也是随着市场与交易技术的发展与时俱进的，目前国际市场上对这三者的通常理解如下：</w:t>
      </w:r>
    </w:p>
    <w:p w:rsidR="0071382F" w:rsidRPr="0071382F" w:rsidRDefault="0071382F" w:rsidP="0071382F">
      <w:r w:rsidRPr="0071382F">
        <w:t>       1.</w:t>
      </w:r>
      <w:r w:rsidRPr="0071382F">
        <w:t>程序化交易</w:t>
      </w:r>
    </w:p>
    <w:p w:rsidR="0071382F" w:rsidRPr="0071382F" w:rsidRDefault="0071382F" w:rsidP="0071382F">
      <w:r w:rsidRPr="0071382F">
        <w:t xml:space="preserve">        </w:t>
      </w:r>
      <w:r w:rsidRPr="0071382F">
        <w:t>根据纽约</w:t>
      </w:r>
      <w:bookmarkStart w:id="0" w:name="_GoBack"/>
      <w:bookmarkEnd w:id="0"/>
      <w:r w:rsidRPr="0071382F">
        <w:t>证券交易所（</w:t>
      </w:r>
      <w:r w:rsidRPr="0071382F">
        <w:t>NYSE</w:t>
      </w:r>
      <w:r w:rsidRPr="0071382F">
        <w:t>）的定义，程序化交易是指包含</w:t>
      </w:r>
      <w:r w:rsidRPr="0071382F">
        <w:t>15</w:t>
      </w:r>
      <w:r w:rsidRPr="0071382F">
        <w:t>只股票以上、成交额在</w:t>
      </w:r>
      <w:r w:rsidRPr="0071382F">
        <w:t>100</w:t>
      </w:r>
      <w:r w:rsidRPr="0071382F">
        <w:t>万美元以上的一篮子交易。在后来的市场实践中，程序化交易的对象通常包括在纽约证券交易所上市的股票、在芝加哥期权交易所（</w:t>
      </w:r>
      <w:r w:rsidRPr="0071382F">
        <w:t>CBOE</w:t>
      </w:r>
      <w:r w:rsidRPr="0071382F">
        <w:t>）和美国证券交易所（</w:t>
      </w:r>
      <w:r w:rsidRPr="0071382F">
        <w:t>AMEX</w:t>
      </w:r>
      <w:r w:rsidRPr="0071382F">
        <w:t>）交易的与这些股票或股票价格指数相对应的期权，以及在芝加哥商业交易所（</w:t>
      </w:r>
      <w:r w:rsidRPr="0071382F">
        <w:t>CME</w:t>
      </w:r>
      <w:r w:rsidRPr="0071382F">
        <w:t>）交易的标准普尔</w:t>
      </w:r>
      <w:r w:rsidRPr="0071382F">
        <w:t>500</w:t>
      </w:r>
      <w:r w:rsidRPr="0071382F">
        <w:t>股指期货合约等，这种交易方式完全是基于这些投资品种（标的资产以及相应的期货期权等衍生品）之间的相互定价关系。在交易执行方面，程序化交易是指从交易者的电脑下单指令直接进入市场的电脑系统并自动执行，主要被机构投资者用于大宗交易。</w:t>
      </w:r>
    </w:p>
    <w:p w:rsidR="0071382F" w:rsidRPr="0071382F" w:rsidRDefault="0071382F" w:rsidP="0071382F">
      <w:r w:rsidRPr="0071382F">
        <w:t>       2.</w:t>
      </w:r>
      <w:r w:rsidRPr="0071382F">
        <w:t>算法交易</w:t>
      </w:r>
    </w:p>
    <w:p w:rsidR="0071382F" w:rsidRPr="0071382F" w:rsidRDefault="0071382F" w:rsidP="0071382F">
      <w:r w:rsidRPr="0071382F">
        <w:t xml:space="preserve">       </w:t>
      </w:r>
      <w:r w:rsidRPr="0071382F">
        <w:t>算法交易是指使用计算机来确定订单最佳的执行路径、执行时间、执行价格及执行数量的交易方法。算法交易已在金融市场上得到广泛运用，养老基金、共同基金、对冲基金等机构投资者通常使用算法交易对大单指令进行分拆，寻找最佳路由和最有利的执行价格，以降低市场的冲击成本，提高执行效率和订单执行的隐蔽性。算法交易可运用于任何投资策略之中，如做市、场内价差交易、套利及趋势跟随交易等等。</w:t>
      </w:r>
    </w:p>
    <w:p w:rsidR="0071382F" w:rsidRPr="0071382F" w:rsidRDefault="0071382F" w:rsidP="0071382F">
      <w:r w:rsidRPr="0071382F">
        <w:t>      3.</w:t>
      </w:r>
      <w:r w:rsidRPr="0071382F">
        <w:t>高频交易</w:t>
      </w:r>
    </w:p>
    <w:p w:rsidR="0071382F" w:rsidRPr="0071382F" w:rsidRDefault="0071382F" w:rsidP="0071382F">
      <w:r w:rsidRPr="0071382F">
        <w:t xml:space="preserve">      </w:t>
      </w:r>
      <w:r w:rsidRPr="0071382F">
        <w:t>高频交易（</w:t>
      </w:r>
      <w:r w:rsidRPr="0071382F">
        <w:t>HFT</w:t>
      </w:r>
      <w:r w:rsidRPr="0071382F">
        <w:t>）是一类特殊的算法交易，它是利用超级计算机以极快的速度处理市场上最新出现的快速传递的信息流（包括行情信息、公布经济数据、政策发布等），并进行买卖交易。</w:t>
      </w:r>
    </w:p>
    <w:p w:rsidR="0071382F" w:rsidRPr="0071382F" w:rsidRDefault="0071382F" w:rsidP="0071382F">
      <w:r w:rsidRPr="0071382F">
        <w:t> </w:t>
      </w:r>
    </w:p>
    <w:p w:rsidR="0071382F" w:rsidRPr="0071382F" w:rsidRDefault="0071382F" w:rsidP="0071382F">
      <w:r w:rsidRPr="0071382F">
        <w:t>二、程序化交易、算法交易在国际市场上的运用</w:t>
      </w:r>
    </w:p>
    <w:p w:rsidR="0071382F" w:rsidRPr="0071382F" w:rsidRDefault="0071382F" w:rsidP="0071382F">
      <w:r w:rsidRPr="0071382F">
        <w:t> </w:t>
      </w:r>
    </w:p>
    <w:p w:rsidR="0071382F" w:rsidRPr="0071382F" w:rsidRDefault="0071382F" w:rsidP="0071382F">
      <w:r w:rsidRPr="0071382F">
        <w:t xml:space="preserve">      </w:t>
      </w:r>
      <w:r w:rsidRPr="0071382F">
        <w:t>程序化交易、算法交易在欧美发达国家的金融市场上运用较为广泛，在日本、中国香港、韩国等亚洲发达市场次之，在发展中国家的市场上使用则更少一些。</w:t>
      </w:r>
    </w:p>
    <w:p w:rsidR="0071382F" w:rsidRPr="0071382F" w:rsidRDefault="0071382F" w:rsidP="0071382F">
      <w:r w:rsidRPr="0071382F">
        <w:t> </w:t>
      </w:r>
    </w:p>
    <w:p w:rsidR="0071382F" w:rsidRPr="0071382F" w:rsidRDefault="0071382F" w:rsidP="0071382F">
      <w:r w:rsidRPr="0071382F">
        <w:t xml:space="preserve">      </w:t>
      </w:r>
      <w:r w:rsidRPr="0071382F">
        <w:t>从</w:t>
      </w:r>
      <w:r w:rsidRPr="0071382F">
        <w:t>2004</w:t>
      </w:r>
      <w:r w:rsidRPr="0071382F">
        <w:t>年</w:t>
      </w:r>
      <w:r w:rsidRPr="0071382F">
        <w:t>1</w:t>
      </w:r>
      <w:r w:rsidRPr="0071382F">
        <w:t>月至</w:t>
      </w:r>
      <w:r w:rsidRPr="0071382F">
        <w:t>2010</w:t>
      </w:r>
      <w:r w:rsidRPr="0071382F">
        <w:t>年</w:t>
      </w:r>
      <w:r w:rsidRPr="0071382F">
        <w:t>6</w:t>
      </w:r>
      <w:r w:rsidRPr="0071382F">
        <w:t>月，纽约证券交易所中程序化交易在总成交量中的百分比：在这段时间内，程序化交易占总成交量百分比最大为</w:t>
      </w:r>
      <w:r w:rsidRPr="0071382F">
        <w:t>48.8%</w:t>
      </w:r>
      <w:r w:rsidRPr="0071382F">
        <w:t>，最小</w:t>
      </w:r>
      <w:r w:rsidRPr="0071382F">
        <w:t>16.2%</w:t>
      </w:r>
      <w:r w:rsidRPr="0071382F">
        <w:t>，平均</w:t>
      </w:r>
      <w:r w:rsidRPr="0071382F">
        <w:t>28.6%</w:t>
      </w:r>
      <w:r w:rsidRPr="0071382F">
        <w:t>。截至</w:t>
      </w:r>
      <w:r w:rsidRPr="0071382F">
        <w:t>2010</w:t>
      </w:r>
      <w:r w:rsidRPr="0071382F">
        <w:t>年</w:t>
      </w:r>
      <w:r w:rsidRPr="0071382F">
        <w:t>6</w:t>
      </w:r>
      <w:r w:rsidRPr="0071382F">
        <w:t>月</w:t>
      </w:r>
      <w:r w:rsidRPr="0071382F">
        <w:t>11</w:t>
      </w:r>
      <w:r w:rsidRPr="0071382F">
        <w:t>日，当周程序化交易成交量占比</w:t>
      </w:r>
      <w:r w:rsidRPr="0071382F">
        <w:t>26.9%</w:t>
      </w:r>
      <w:r w:rsidRPr="0071382F">
        <w:t>，用于指数套利的程序化交易占比仅为</w:t>
      </w:r>
      <w:r w:rsidRPr="0071382F">
        <w:t>0.81%</w:t>
      </w:r>
      <w:r w:rsidRPr="0071382F">
        <w:t>，非指数</w:t>
      </w:r>
      <w:proofErr w:type="gramStart"/>
      <w:r w:rsidRPr="0071382F">
        <w:t>套利占</w:t>
      </w:r>
      <w:proofErr w:type="gramEnd"/>
      <w:r w:rsidRPr="0071382F">
        <w:t>比</w:t>
      </w:r>
      <w:r w:rsidRPr="0071382F">
        <w:t>24.75%</w:t>
      </w:r>
      <w:r w:rsidRPr="0071382F">
        <w:t>。最大的程序化交易者包括高盛、摩根士丹利、德意志银行、巴克莱资本、韦德布什</w:t>
      </w:r>
      <w:r w:rsidRPr="0071382F">
        <w:t>·</w:t>
      </w:r>
      <w:r w:rsidRPr="0071382F">
        <w:t>摩根、法兴美国、摩根大通、加拿大皇家银行资本等。</w:t>
      </w:r>
    </w:p>
    <w:p w:rsidR="0071382F" w:rsidRPr="0071382F" w:rsidRDefault="0071382F" w:rsidP="0071382F">
      <w:r w:rsidRPr="0071382F">
        <w:t> </w:t>
      </w:r>
    </w:p>
    <w:p w:rsidR="0071382F" w:rsidRPr="0071382F" w:rsidRDefault="0071382F" w:rsidP="0071382F">
      <w:r w:rsidRPr="0071382F">
        <w:t xml:space="preserve">      </w:t>
      </w:r>
      <w:r w:rsidRPr="0071382F">
        <w:t>算法交易在交易中的作用主要体现在交易的执行方面，具体包括智能路由、降低冲击成本、提高执行效率、减少人力成本和增加投资组合收益等方面。国际市场上通常有四种主要类型的交易算法：一是时间表驱动算法，它遵循时间表，有固定的开始与结束时间，如</w:t>
      </w:r>
      <w:r w:rsidRPr="0071382F">
        <w:t>VWAP</w:t>
      </w:r>
      <w:r w:rsidRPr="0071382F">
        <w:t>、</w:t>
      </w:r>
      <w:r w:rsidRPr="0071382F">
        <w:t>TWAP</w:t>
      </w:r>
      <w:r w:rsidRPr="0071382F">
        <w:t>等；二是动态市场驱动算法，它实时监控市场波动并做出反应，如</w:t>
      </w:r>
      <w:r w:rsidRPr="0071382F">
        <w:t>Implementation Shortfall</w:t>
      </w:r>
      <w:r w:rsidRPr="0071382F">
        <w:t>、</w:t>
      </w:r>
      <w:r w:rsidRPr="0071382F">
        <w:t>Price in line</w:t>
      </w:r>
      <w:r w:rsidRPr="0071382F">
        <w:t>、</w:t>
      </w:r>
      <w:r w:rsidRPr="0071382F">
        <w:t>Volume in line</w:t>
      </w:r>
      <w:r w:rsidRPr="0071382F">
        <w:t>等；三是高自由度</w:t>
      </w:r>
      <w:r w:rsidRPr="0071382F">
        <w:t>Alpha</w:t>
      </w:r>
      <w:r w:rsidRPr="0071382F">
        <w:t>算法，如</w:t>
      </w:r>
      <w:r w:rsidRPr="0071382F">
        <w:t>Float</w:t>
      </w:r>
      <w:r w:rsidRPr="0071382F">
        <w:t>、</w:t>
      </w:r>
      <w:r w:rsidRPr="0071382F">
        <w:t>Hidden</w:t>
      </w:r>
      <w:r w:rsidRPr="0071382F">
        <w:t>、</w:t>
      </w:r>
      <w:proofErr w:type="spellStart"/>
      <w:r w:rsidRPr="0071382F">
        <w:t>AtOpen</w:t>
      </w:r>
      <w:proofErr w:type="spellEnd"/>
      <w:r w:rsidRPr="0071382F">
        <w:t>、</w:t>
      </w:r>
      <w:proofErr w:type="spellStart"/>
      <w:r w:rsidRPr="0071382F">
        <w:lastRenderedPageBreak/>
        <w:t>AtClose</w:t>
      </w:r>
      <w:proofErr w:type="spellEnd"/>
      <w:r w:rsidRPr="0071382F">
        <w:t>等；四是主动的流动性搜索捕捉算法，它可以智能地访问</w:t>
      </w:r>
      <w:proofErr w:type="gramStart"/>
      <w:r w:rsidRPr="0071382F">
        <w:t>多个明池和</w:t>
      </w:r>
      <w:proofErr w:type="gramEnd"/>
      <w:r w:rsidRPr="0071382F">
        <w:t>暗池，如</w:t>
      </w:r>
      <w:r w:rsidRPr="0071382F">
        <w:t>TAP</w:t>
      </w:r>
      <w:r w:rsidRPr="0071382F">
        <w:t>等。截至</w:t>
      </w:r>
      <w:r w:rsidRPr="0071382F">
        <w:t>2009</w:t>
      </w:r>
      <w:r w:rsidRPr="0071382F">
        <w:t>年，高频交易公司的成交量占美国股票市场总交易量的</w:t>
      </w:r>
      <w:r w:rsidRPr="0071382F">
        <w:t>73</w:t>
      </w:r>
      <w:r w:rsidRPr="0071382F">
        <w:t>％。从事金融服务行业研究的</w:t>
      </w:r>
      <w:r w:rsidRPr="0071382F">
        <w:t>TABB</w:t>
      </w:r>
      <w:r w:rsidRPr="0071382F">
        <w:t>集团于</w:t>
      </w:r>
      <w:r w:rsidRPr="0071382F">
        <w:t>2009</w:t>
      </w:r>
      <w:r w:rsidRPr="0071382F">
        <w:t>年</w:t>
      </w:r>
      <w:r w:rsidRPr="0071382F">
        <w:t>8</w:t>
      </w:r>
      <w:r w:rsidRPr="0071382F">
        <w:t>月公布了一份报告，估计在</w:t>
      </w:r>
      <w:r w:rsidRPr="0071382F">
        <w:t>2008</w:t>
      </w:r>
      <w:r w:rsidRPr="0071382F">
        <w:t>年进行快速算法交易的</w:t>
      </w:r>
      <w:r w:rsidRPr="0071382F">
        <w:t>300</w:t>
      </w:r>
      <w:r w:rsidRPr="0071382F">
        <w:t>家证券公司和对冲基金共从中获利</w:t>
      </w:r>
      <w:r w:rsidRPr="0071382F">
        <w:t>210</w:t>
      </w:r>
      <w:r w:rsidRPr="0071382F">
        <w:t>亿美元左右。</w:t>
      </w:r>
    </w:p>
    <w:p w:rsidR="0071382F" w:rsidRPr="0071382F" w:rsidRDefault="0071382F" w:rsidP="0071382F">
      <w:r w:rsidRPr="0071382F">
        <w:t> </w:t>
      </w:r>
    </w:p>
    <w:p w:rsidR="0071382F" w:rsidRPr="0071382F" w:rsidRDefault="0071382F" w:rsidP="0071382F">
      <w:r w:rsidRPr="0071382F">
        <w:t xml:space="preserve">       </w:t>
      </w:r>
      <w:r w:rsidRPr="0071382F">
        <w:t>在美国，总共大约有</w:t>
      </w:r>
      <w:r w:rsidRPr="0071382F">
        <w:t>2</w:t>
      </w:r>
      <w:r w:rsidRPr="0071382F">
        <w:t>万家交易商，其中采用高频交易的约占</w:t>
      </w:r>
      <w:r w:rsidRPr="0071382F">
        <w:t>2.0</w:t>
      </w:r>
      <w:r w:rsidRPr="0071382F">
        <w:t>％，也就是</w:t>
      </w:r>
      <w:r w:rsidRPr="0071382F">
        <w:t>400</w:t>
      </w:r>
      <w:r w:rsidRPr="0071382F">
        <w:t>家左右，但这</w:t>
      </w:r>
      <w:r w:rsidRPr="0071382F">
        <w:t>2.0%</w:t>
      </w:r>
      <w:r w:rsidRPr="0071382F">
        <w:t>的高频交易商在所有股票成交量中却占到了</w:t>
      </w:r>
      <w:r w:rsidRPr="0071382F">
        <w:t>73.0</w:t>
      </w:r>
      <w:r w:rsidRPr="0071382F">
        <w:t>％。从事高频交易的公司包括：少数大投行（如高盛、美林等）的自营席位、数百家最神秘的自营集团（如</w:t>
      </w:r>
      <w:proofErr w:type="gramStart"/>
      <w:r w:rsidRPr="0071382F">
        <w:t>豹熊公司</w:t>
      </w:r>
      <w:proofErr w:type="gramEnd"/>
      <w:r w:rsidRPr="0071382F">
        <w:t>Wolverine</w:t>
      </w:r>
      <w:r w:rsidRPr="0071382F">
        <w:t>、文艺复兴科技公司</w:t>
      </w:r>
      <w:r w:rsidRPr="0071382F">
        <w:t>Renaissance Technologies</w:t>
      </w:r>
      <w:r w:rsidRPr="0071382F">
        <w:t>、</w:t>
      </w:r>
      <w:r w:rsidRPr="0071382F">
        <w:t>IMC</w:t>
      </w:r>
      <w:r w:rsidRPr="0071382F">
        <w:t>公司和</w:t>
      </w:r>
      <w:proofErr w:type="spellStart"/>
      <w:r w:rsidRPr="0071382F">
        <w:t>Getco</w:t>
      </w:r>
      <w:proofErr w:type="spellEnd"/>
      <w:r w:rsidRPr="0071382F">
        <w:t>公司）、不到</w:t>
      </w:r>
      <w:r w:rsidRPr="0071382F">
        <w:t>100</w:t>
      </w:r>
      <w:r w:rsidRPr="0071382F">
        <w:t>家最复杂的对冲基金等等。根据行业规则，他们往往倾向于秘密化、隐身化、智能化。</w:t>
      </w:r>
    </w:p>
    <w:p w:rsidR="0071382F" w:rsidRPr="0071382F" w:rsidRDefault="0071382F" w:rsidP="0071382F">
      <w:r w:rsidRPr="0071382F">
        <w:t> </w:t>
      </w:r>
    </w:p>
    <w:p w:rsidR="0071382F" w:rsidRPr="0071382F" w:rsidRDefault="0071382F" w:rsidP="0071382F">
      <w:r w:rsidRPr="0071382F">
        <w:t xml:space="preserve">       </w:t>
      </w:r>
      <w:r w:rsidRPr="0071382F">
        <w:t>高频交易的特点是资金流动性很高，持仓时间极短，计算机不断地根据市场行情的变化做出极快的反应。典型的高频交易通常是每天都完成很多笔交易，每笔交易获取小额收益，极少情况下可能会有少量隔夜持仓。隔夜持仓对于高频交易者来说通常是不予考虑的，因为在如今高波动率的市场上，这样做的风险特别高，此外，隔夜持仓所占用的保证金还需支付利息，这会降低交易的收益率。高频交易策略的构成要素包括：</w:t>
      </w:r>
    </w:p>
    <w:p w:rsidR="0071382F" w:rsidRPr="0071382F" w:rsidRDefault="0071382F" w:rsidP="0071382F">
      <w:r w:rsidRPr="0071382F">
        <w:t> </w:t>
      </w:r>
    </w:p>
    <w:p w:rsidR="0071382F" w:rsidRPr="0071382F" w:rsidRDefault="0071382F" w:rsidP="0071382F">
      <w:r w:rsidRPr="0071382F">
        <w:t>       1.</w:t>
      </w:r>
      <w:r w:rsidRPr="0071382F">
        <w:t>低延时</w:t>
      </w:r>
    </w:p>
    <w:p w:rsidR="0071382F" w:rsidRPr="0071382F" w:rsidRDefault="0071382F" w:rsidP="0071382F">
      <w:r w:rsidRPr="0071382F">
        <w:t> </w:t>
      </w:r>
    </w:p>
    <w:p w:rsidR="0071382F" w:rsidRPr="0071382F" w:rsidRDefault="0071382F" w:rsidP="0071382F">
      <w:r w:rsidRPr="0071382F">
        <w:t xml:space="preserve">       </w:t>
      </w:r>
      <w:r w:rsidRPr="0071382F">
        <w:t>高频交易策略高度依赖于超低延时性。为了实现执行这些策略所带来的好处，高频交易公司必须拥有实时、与交易所同位的高频交易平台，通过这个平台来接受市场行情、生成交易指令、选择路由并执行指令，所有这些都是在不到</w:t>
      </w:r>
      <w:r w:rsidRPr="0071382F">
        <w:t>1</w:t>
      </w:r>
      <w:r w:rsidRPr="0071382F">
        <w:t>毫秒的时间内完成的。</w:t>
      </w:r>
    </w:p>
    <w:p w:rsidR="0071382F" w:rsidRPr="0071382F" w:rsidRDefault="0071382F" w:rsidP="0071382F">
      <w:r w:rsidRPr="0071382F">
        <w:t> </w:t>
      </w:r>
    </w:p>
    <w:p w:rsidR="0071382F" w:rsidRPr="0071382F" w:rsidRDefault="0071382F" w:rsidP="0071382F">
      <w:r w:rsidRPr="0071382F">
        <w:t>       2.</w:t>
      </w:r>
      <w:r w:rsidRPr="0071382F">
        <w:t>多种资产类别和多个交易所</w:t>
      </w:r>
    </w:p>
    <w:p w:rsidR="0071382F" w:rsidRPr="0071382F" w:rsidRDefault="0071382F" w:rsidP="0071382F">
      <w:r w:rsidRPr="0071382F">
        <w:t> </w:t>
      </w:r>
    </w:p>
    <w:p w:rsidR="0071382F" w:rsidRPr="0071382F" w:rsidRDefault="0071382F" w:rsidP="0071382F">
      <w:r w:rsidRPr="0071382F">
        <w:t>       </w:t>
      </w:r>
      <w:r w:rsidRPr="0071382F">
        <w:t>由于许多高频交易策略需要在一种以上的资产类别以及多个交易所之间进行交易，因此，需要配备适当的基础设施，以便在不同的数据中心之间进行远程连接。</w:t>
      </w:r>
    </w:p>
    <w:p w:rsidR="0071382F" w:rsidRPr="0071382F" w:rsidRDefault="0071382F" w:rsidP="0071382F">
      <w:r w:rsidRPr="0071382F">
        <w:t> </w:t>
      </w:r>
    </w:p>
    <w:p w:rsidR="0071382F" w:rsidRPr="0071382F" w:rsidRDefault="0071382F" w:rsidP="0071382F">
      <w:r w:rsidRPr="0071382F">
        <w:t>       3.</w:t>
      </w:r>
      <w:r w:rsidRPr="0071382F">
        <w:t>有限的有效期</w:t>
      </w:r>
    </w:p>
    <w:p w:rsidR="0071382F" w:rsidRPr="0071382F" w:rsidRDefault="0071382F" w:rsidP="0071382F">
      <w:r w:rsidRPr="0071382F">
        <w:t> </w:t>
      </w:r>
    </w:p>
    <w:p w:rsidR="0071382F" w:rsidRPr="0071382F" w:rsidRDefault="0071382F" w:rsidP="0071382F">
      <w:r w:rsidRPr="0071382F">
        <w:t xml:space="preserve">       </w:t>
      </w:r>
      <w:r w:rsidRPr="0071382F">
        <w:t>一个高频交易策略的竞争优势会随着时间的推移而削弱。尽管对于交易商而言，其高水平的交易策略可能会随着时间的推移保持前后一致的稳定性，但在微观层面上这些策略仍在动态调整，这样做有两个重要理由：第一，由于高频交易依赖于极其精确的市场互动以及证券之间的相关性，交易者需要时常调整算法的程序代码，以反映动态市场的微妙变化。第二，他们的交易策略信息可能被交易对手探测出来，这样容易受到对方反制，令他们最有利可图的想法成为最大的风险所在。</w:t>
      </w:r>
    </w:p>
    <w:p w:rsidR="0071382F" w:rsidRPr="0071382F" w:rsidRDefault="0071382F" w:rsidP="0071382F">
      <w:r w:rsidRPr="0071382F">
        <w:t> </w:t>
      </w:r>
    </w:p>
    <w:p w:rsidR="0071382F" w:rsidRPr="0071382F" w:rsidRDefault="0071382F" w:rsidP="0071382F">
      <w:r w:rsidRPr="0071382F">
        <w:t>三、程序化交易、算法交易在国际市场上遇到的问题</w:t>
      </w:r>
    </w:p>
    <w:p w:rsidR="0071382F" w:rsidRPr="0071382F" w:rsidRDefault="0071382F" w:rsidP="0071382F">
      <w:r w:rsidRPr="0071382F">
        <w:t> </w:t>
      </w:r>
    </w:p>
    <w:p w:rsidR="0071382F" w:rsidRPr="0071382F" w:rsidRDefault="0071382F" w:rsidP="0071382F">
      <w:r w:rsidRPr="0071382F">
        <w:t xml:space="preserve">      </w:t>
      </w:r>
      <w:r w:rsidRPr="0071382F">
        <w:t>程序化交易最引发争议的一个问题是，很多人认为程序化交易加剧了市场价格波动。由于机构投资者是程序化交易的主要市场参与者，因此，有人认为程序化交易更多地损害了中小投资者的利益。对于这种观点，诸多欧美金融经济学家进行了大量的理论和实证研究，经济学家的研究结果表明：程序化交易与市场价格波动之间没有必然的联系，同样，也没有证据显示指数套利加剧了市场价格的波动。</w:t>
      </w:r>
    </w:p>
    <w:p w:rsidR="0071382F" w:rsidRPr="0071382F" w:rsidRDefault="0071382F" w:rsidP="0071382F">
      <w:r w:rsidRPr="0071382F">
        <w:lastRenderedPageBreak/>
        <w:t> </w:t>
      </w:r>
    </w:p>
    <w:p w:rsidR="0071382F" w:rsidRPr="0071382F" w:rsidRDefault="0071382F" w:rsidP="0071382F">
      <w:r w:rsidRPr="0071382F">
        <w:t xml:space="preserve">      </w:t>
      </w:r>
      <w:r w:rsidRPr="0071382F">
        <w:t>另外，美国证券交易委员会（</w:t>
      </w:r>
      <w:r w:rsidRPr="0071382F">
        <w:t>SEC</w:t>
      </w:r>
      <w:r w:rsidRPr="0071382F">
        <w:t>）曾对</w:t>
      </w:r>
      <w:r w:rsidRPr="0071382F">
        <w:t>1997</w:t>
      </w:r>
      <w:r w:rsidRPr="0071382F">
        <w:t>年</w:t>
      </w:r>
      <w:r w:rsidRPr="0071382F">
        <w:t>10</w:t>
      </w:r>
      <w:r w:rsidRPr="0071382F">
        <w:t>月</w:t>
      </w:r>
      <w:r w:rsidRPr="0071382F">
        <w:t>27—28</w:t>
      </w:r>
      <w:r w:rsidRPr="0071382F">
        <w:t>日美国股市经历的大动荡进行了调查，结果发现，包括指数套利、动态对</w:t>
      </w:r>
      <w:proofErr w:type="gramStart"/>
      <w:r w:rsidRPr="0071382F">
        <w:t>冲以及</w:t>
      </w:r>
      <w:proofErr w:type="gramEnd"/>
      <w:r w:rsidRPr="0071382F">
        <w:t>指数期货等程序化交易在这两日内的交易行为均属正常，没有对市场振荡和价格巨幅下挫产生负面影响。</w:t>
      </w:r>
    </w:p>
    <w:p w:rsidR="0071382F" w:rsidRPr="0071382F" w:rsidRDefault="0071382F" w:rsidP="0071382F">
      <w:r w:rsidRPr="0071382F">
        <w:t> </w:t>
      </w:r>
    </w:p>
    <w:p w:rsidR="0071382F" w:rsidRPr="0071382F" w:rsidRDefault="0071382F" w:rsidP="0071382F">
      <w:r w:rsidRPr="0071382F">
        <w:t xml:space="preserve">      </w:t>
      </w:r>
      <w:r w:rsidRPr="0071382F">
        <w:t>最近一两年，高频交易越来越受到欧美金融市场监管层的关注。在某些经纪商看来，有些高频交易方式例如闪电指令，属于</w:t>
      </w:r>
      <w:r w:rsidRPr="0071382F">
        <w:t>“</w:t>
      </w:r>
      <w:r w:rsidRPr="0071382F">
        <w:t>有毒</w:t>
      </w:r>
      <w:r w:rsidRPr="0071382F">
        <w:t>”</w:t>
      </w:r>
      <w:r w:rsidRPr="0071382F">
        <w:t>的下单方式。正是闪电指令这种有毒的交易方式，导致成交量激增，尤其是在纽约证券交易所上市的股票，同时报价变化也相应出现激增，短期的波动率剧烈上升。如今，纽约证券交易所的专业交易员所进行的交易只占总成交量的大约</w:t>
      </w:r>
      <w:r w:rsidRPr="0071382F">
        <w:t>25</w:t>
      </w:r>
      <w:r w:rsidRPr="0071382F">
        <w:t>％，这个数字在过去曾经是</w:t>
      </w:r>
      <w:r w:rsidRPr="0071382F">
        <w:t>80</w:t>
      </w:r>
      <w:r w:rsidRPr="0071382F">
        <w:t>％。有些高频交易者（如高盛）利用市场下单指令流的内幕信息来交易，从市场的其他参与者处提取数以十亿计的美元。鉴于所谓的闪电指令技术给予使用闪电般迅速的计算机的高频交易者不公平的优势，纳斯达克市场从</w:t>
      </w:r>
      <w:r w:rsidRPr="0071382F">
        <w:t>2009</w:t>
      </w:r>
      <w:r w:rsidRPr="0071382F">
        <w:t>年</w:t>
      </w:r>
      <w:r w:rsidRPr="0071382F">
        <w:t>9</w:t>
      </w:r>
      <w:r w:rsidRPr="0071382F">
        <w:t>月</w:t>
      </w:r>
      <w:r w:rsidRPr="0071382F">
        <w:t>1</w:t>
      </w:r>
      <w:r w:rsidRPr="0071382F">
        <w:t>日开始终止使用闪电指令。</w:t>
      </w:r>
    </w:p>
    <w:p w:rsidR="0071382F" w:rsidRPr="0071382F" w:rsidRDefault="0071382F" w:rsidP="0071382F">
      <w:r w:rsidRPr="0071382F">
        <w:t> </w:t>
      </w:r>
    </w:p>
    <w:p w:rsidR="0071382F" w:rsidRPr="0071382F" w:rsidRDefault="0071382F" w:rsidP="0071382F">
      <w:r w:rsidRPr="0071382F">
        <w:t>四、程序化交易、算法交易在国际市场上的监管</w:t>
      </w:r>
    </w:p>
    <w:p w:rsidR="0071382F" w:rsidRPr="0071382F" w:rsidRDefault="0071382F" w:rsidP="0071382F">
      <w:r w:rsidRPr="0071382F">
        <w:t> </w:t>
      </w:r>
    </w:p>
    <w:p w:rsidR="0071382F" w:rsidRPr="0071382F" w:rsidRDefault="0071382F" w:rsidP="0071382F">
      <w:r w:rsidRPr="0071382F">
        <w:t xml:space="preserve">      </w:t>
      </w:r>
      <w:r w:rsidRPr="0071382F">
        <w:t>纽约证券交易所对程序化交易所做的限制性规定包括</w:t>
      </w:r>
      <w:r w:rsidRPr="0071382F">
        <w:t>Rule 80A</w:t>
      </w:r>
      <w:r w:rsidRPr="0071382F">
        <w:t>和</w:t>
      </w:r>
      <w:r w:rsidRPr="0071382F">
        <w:t>Rule 80B</w:t>
      </w:r>
      <w:r w:rsidRPr="0071382F">
        <w:t>。</w:t>
      </w:r>
      <w:r w:rsidRPr="0071382F">
        <w:t>Rule 80A</w:t>
      </w:r>
      <w:r w:rsidRPr="0071382F">
        <w:t>主要包括三个方面的内容：（</w:t>
      </w:r>
      <w:r w:rsidRPr="0071382F">
        <w:t>1</w:t>
      </w:r>
      <w:r w:rsidRPr="0071382F">
        <w:t>）关于</w:t>
      </w:r>
      <w:r w:rsidRPr="0071382F">
        <w:t>Collars</w:t>
      </w:r>
      <w:r w:rsidRPr="0071382F">
        <w:t>的规定。纽约证券交易所于</w:t>
      </w:r>
      <w:r w:rsidRPr="0071382F">
        <w:t>1988</w:t>
      </w:r>
      <w:r w:rsidRPr="0071382F">
        <w:t>年</w:t>
      </w:r>
      <w:r w:rsidRPr="0071382F">
        <w:t>2</w:t>
      </w:r>
      <w:r w:rsidRPr="0071382F">
        <w:t>月规定了</w:t>
      </w:r>
      <w:r w:rsidRPr="0071382F">
        <w:t>50</w:t>
      </w:r>
      <w:r w:rsidRPr="0071382F">
        <w:t>个点位的</w:t>
      </w:r>
      <w:r w:rsidRPr="0071382F">
        <w:t>Collars</w:t>
      </w:r>
      <w:r w:rsidRPr="0071382F">
        <w:t>，即当道琼斯工业平均股价指数（</w:t>
      </w:r>
      <w:r w:rsidRPr="0071382F">
        <w:t>DJIA</w:t>
      </w:r>
      <w:r w:rsidRPr="0071382F">
        <w:t>）点位比上一个交易日收盘点位上涨或者下跌</w:t>
      </w:r>
      <w:r w:rsidRPr="0071382F">
        <w:t>50</w:t>
      </w:r>
      <w:r w:rsidRPr="0071382F">
        <w:t>点以上，</w:t>
      </w:r>
      <w:r w:rsidRPr="0071382F">
        <w:t>S&amp;P500</w:t>
      </w:r>
      <w:r w:rsidRPr="0071382F">
        <w:t>指数成份股的套利交易就要受到限制。</w:t>
      </w:r>
      <w:r w:rsidRPr="0071382F">
        <w:t>1998</w:t>
      </w:r>
      <w:r w:rsidRPr="0071382F">
        <w:t>年</w:t>
      </w:r>
      <w:r w:rsidRPr="0071382F">
        <w:t>10</w:t>
      </w:r>
      <w:r w:rsidRPr="0071382F">
        <w:t>月</w:t>
      </w:r>
      <w:r w:rsidRPr="0071382F">
        <w:t>5</w:t>
      </w:r>
      <w:r w:rsidRPr="0071382F">
        <w:t>日，</w:t>
      </w:r>
      <w:r w:rsidRPr="0071382F">
        <w:t>NYSE</w:t>
      </w:r>
      <w:r w:rsidRPr="0071382F">
        <w:t>对</w:t>
      </w:r>
      <w:r w:rsidRPr="0071382F">
        <w:t>Collars</w:t>
      </w:r>
      <w:r w:rsidRPr="0071382F">
        <w:t>的上述规定进行了修改，取消了</w:t>
      </w:r>
      <w:r w:rsidRPr="0071382F">
        <w:t>50</w:t>
      </w:r>
      <w:r w:rsidRPr="0071382F">
        <w:t>个点位和</w:t>
      </w:r>
      <w:r w:rsidRPr="0071382F">
        <w:t>25</w:t>
      </w:r>
      <w:r w:rsidRPr="0071382F">
        <w:t>个点位的规定，代之使用</w:t>
      </w:r>
      <w:r w:rsidRPr="0071382F">
        <w:t>DJIA</w:t>
      </w:r>
      <w:r w:rsidRPr="0071382F">
        <w:t>的收盘点位的</w:t>
      </w:r>
      <w:r w:rsidRPr="0071382F">
        <w:t>2%</w:t>
      </w:r>
      <w:r w:rsidRPr="0071382F">
        <w:t>和</w:t>
      </w:r>
      <w:r w:rsidRPr="0071382F">
        <w:t>1%</w:t>
      </w:r>
      <w:r w:rsidRPr="0071382F">
        <w:t>为</w:t>
      </w:r>
      <w:r w:rsidRPr="0071382F">
        <w:t>Collars</w:t>
      </w:r>
      <w:r w:rsidRPr="0071382F">
        <w:t>的标准，每个季度对</w:t>
      </w:r>
      <w:r w:rsidRPr="0071382F">
        <w:t>Collars</w:t>
      </w:r>
      <w:r w:rsidRPr="0071382F">
        <w:t>进行重新计算，计算方法是以</w:t>
      </w:r>
      <w:r w:rsidRPr="0071382F">
        <w:t>DJIA</w:t>
      </w:r>
      <w:r w:rsidRPr="0071382F">
        <w:t>上一个季度最后一个月的平均收盘点位的</w:t>
      </w:r>
      <w:r w:rsidRPr="0071382F">
        <w:t>2%</w:t>
      </w:r>
      <w:r w:rsidRPr="0071382F">
        <w:t>和</w:t>
      </w:r>
      <w:r w:rsidRPr="0071382F">
        <w:t>1%</w:t>
      </w:r>
      <w:r w:rsidRPr="0071382F">
        <w:t>来取值。（</w:t>
      </w:r>
      <w:r w:rsidRPr="0071382F">
        <w:t>2</w:t>
      </w:r>
      <w:r w:rsidRPr="0071382F">
        <w:t>）关于</w:t>
      </w:r>
      <w:r w:rsidRPr="0071382F">
        <w:t>Sidecar</w:t>
      </w:r>
      <w:r w:rsidRPr="0071382F">
        <w:t>的规定。早在</w:t>
      </w:r>
      <w:r w:rsidRPr="0071382F">
        <w:t>1990</w:t>
      </w:r>
      <w:r w:rsidRPr="0071382F">
        <w:t>年纽约证券交易所就规定，当</w:t>
      </w:r>
      <w:r w:rsidRPr="0071382F">
        <w:t>S&amp;P500</w:t>
      </w:r>
      <w:r w:rsidRPr="0071382F">
        <w:t>指数期货合约的收盘价格比上一个交易日的收盘点位下跌</w:t>
      </w:r>
      <w:r w:rsidRPr="0071382F">
        <w:t>12</w:t>
      </w:r>
      <w:r w:rsidRPr="0071382F">
        <w:t>个点位以上，并且是在下午</w:t>
      </w:r>
      <w:r w:rsidRPr="0071382F">
        <w:t>3</w:t>
      </w:r>
      <w:r w:rsidRPr="0071382F">
        <w:rPr>
          <w:rFonts w:ascii="宋体" w:eastAsia="宋体" w:hAnsi="宋体" w:cs="宋体" w:hint="eastAsia"/>
        </w:rPr>
        <w:t>∶</w:t>
      </w:r>
      <w:r w:rsidRPr="0071382F">
        <w:t>25</w:t>
      </w:r>
      <w:r w:rsidRPr="0071382F">
        <w:t>以前发生的，则有关</w:t>
      </w:r>
      <w:r w:rsidRPr="0071382F">
        <w:t>S&amp;P500</w:t>
      </w:r>
      <w:r w:rsidRPr="0071382F">
        <w:t>指数成份股的程序化交易指令，包括限价指令、停止交易指令等都要受到限制。但该项规定已于</w:t>
      </w:r>
      <w:r w:rsidRPr="0071382F">
        <w:t>1999</w:t>
      </w:r>
      <w:r w:rsidRPr="0071382F">
        <w:t>年</w:t>
      </w:r>
      <w:r w:rsidRPr="0071382F">
        <w:t>2</w:t>
      </w:r>
      <w:r w:rsidRPr="0071382F">
        <w:t>月</w:t>
      </w:r>
      <w:r w:rsidRPr="0071382F">
        <w:t>16</w:t>
      </w:r>
      <w:r w:rsidRPr="0071382F">
        <w:t>日被取消。（</w:t>
      </w:r>
      <w:r w:rsidRPr="0071382F">
        <w:t>3</w:t>
      </w:r>
      <w:r w:rsidRPr="0071382F">
        <w:t>）关于熔断的规定。纽约证券交易所规则规定，当日</w:t>
      </w:r>
      <w:r w:rsidRPr="0071382F">
        <w:t>DJIA</w:t>
      </w:r>
      <w:r w:rsidRPr="0071382F">
        <w:t>点位比上一个交易日收盘点位上涨或者下跌</w:t>
      </w:r>
      <w:r w:rsidRPr="0071382F">
        <w:t>160</w:t>
      </w:r>
      <w:r w:rsidRPr="0071382F">
        <w:t>点以上，</w:t>
      </w:r>
      <w:r w:rsidRPr="0071382F">
        <w:t>S&amp;P500</w:t>
      </w:r>
      <w:r w:rsidRPr="0071382F">
        <w:t>指数成份股的套利交易就要受到限制；如果</w:t>
      </w:r>
      <w:r w:rsidRPr="0071382F">
        <w:t>DJIA</w:t>
      </w:r>
      <w:r w:rsidRPr="0071382F">
        <w:t>点位比上一个交易日收盘点位上涨或者下跌</w:t>
      </w:r>
      <w:r w:rsidRPr="0071382F">
        <w:t>80</w:t>
      </w:r>
      <w:r w:rsidRPr="0071382F">
        <w:t>点以上，上述限制则取消；当</w:t>
      </w:r>
      <w:r w:rsidRPr="0071382F">
        <w:t>DJIA</w:t>
      </w:r>
      <w:r w:rsidRPr="0071382F">
        <w:t>点位再一次比上一个交易日收盘点位上涨或者下跌</w:t>
      </w:r>
      <w:r w:rsidRPr="0071382F">
        <w:t>160</w:t>
      </w:r>
      <w:r w:rsidRPr="0071382F">
        <w:t>点以上，则</w:t>
      </w:r>
      <w:r w:rsidRPr="0071382F">
        <w:t>S&amp;P500</w:t>
      </w:r>
      <w:r w:rsidRPr="0071382F">
        <w:t>指数成份股的套利交易也要再一次受到限制。</w:t>
      </w:r>
    </w:p>
    <w:p w:rsidR="0071382F" w:rsidRPr="0071382F" w:rsidRDefault="0071382F" w:rsidP="0071382F">
      <w:r w:rsidRPr="0071382F">
        <w:t> </w:t>
      </w:r>
    </w:p>
    <w:p w:rsidR="0071382F" w:rsidRPr="0071382F" w:rsidRDefault="0071382F" w:rsidP="0071382F">
      <w:r w:rsidRPr="0071382F">
        <w:t>       Rule 80B</w:t>
      </w:r>
      <w:r w:rsidRPr="0071382F">
        <w:t>规定了三个阶段的暂停交易情况：第一阶段，当日</w:t>
      </w:r>
      <w:r w:rsidRPr="0071382F">
        <w:t>DJIA</w:t>
      </w:r>
      <w:r w:rsidRPr="0071382F">
        <w:t>点位比上一个交易日收盘点位下跌</w:t>
      </w:r>
      <w:r w:rsidRPr="0071382F">
        <w:t>800</w:t>
      </w:r>
      <w:r w:rsidRPr="0071382F">
        <w:t>点时，则有三种暂停交易的情况：一是若点位下跌发生在下午</w:t>
      </w:r>
      <w:r w:rsidRPr="0071382F">
        <w:t>2</w:t>
      </w:r>
      <w:r w:rsidRPr="0071382F">
        <w:rPr>
          <w:rFonts w:ascii="宋体" w:eastAsia="宋体" w:hAnsi="宋体" w:cs="宋体" w:hint="eastAsia"/>
        </w:rPr>
        <w:t>∶</w:t>
      </w:r>
      <w:r w:rsidRPr="0071382F">
        <w:t>00</w:t>
      </w:r>
      <w:r w:rsidRPr="0071382F">
        <w:t>以前，暂停交易</w:t>
      </w:r>
      <w:r w:rsidRPr="0071382F">
        <w:t>1</w:t>
      </w:r>
      <w:r w:rsidRPr="0071382F">
        <w:t>个小时；二是若点位下跌发生在下午</w:t>
      </w:r>
      <w:r w:rsidRPr="0071382F">
        <w:t>2</w:t>
      </w:r>
      <w:r w:rsidRPr="0071382F">
        <w:rPr>
          <w:rFonts w:ascii="宋体" w:eastAsia="宋体" w:hAnsi="宋体" w:cs="宋体" w:hint="eastAsia"/>
        </w:rPr>
        <w:t>∶</w:t>
      </w:r>
      <w:r w:rsidRPr="0071382F">
        <w:t>00</w:t>
      </w:r>
      <w:r w:rsidRPr="0071382F">
        <w:rPr>
          <w:rFonts w:ascii="Calibri" w:hAnsi="Calibri" w:cs="Calibri"/>
        </w:rPr>
        <w:t>—</w:t>
      </w:r>
      <w:r w:rsidRPr="0071382F">
        <w:t>2</w:t>
      </w:r>
      <w:r w:rsidRPr="0071382F">
        <w:rPr>
          <w:rFonts w:ascii="宋体" w:eastAsia="宋体" w:hAnsi="宋体" w:cs="宋体" w:hint="eastAsia"/>
        </w:rPr>
        <w:t>∶</w:t>
      </w:r>
      <w:r w:rsidRPr="0071382F">
        <w:t>30</w:t>
      </w:r>
      <w:r w:rsidRPr="0071382F">
        <w:t>，暂停交易</w:t>
      </w:r>
      <w:r w:rsidRPr="0071382F">
        <w:t>30</w:t>
      </w:r>
      <w:r w:rsidRPr="0071382F">
        <w:t>分钟；三是若点位下跌发生在下午</w:t>
      </w:r>
      <w:r w:rsidRPr="0071382F">
        <w:t>2</w:t>
      </w:r>
      <w:r w:rsidRPr="0071382F">
        <w:rPr>
          <w:rFonts w:ascii="宋体" w:eastAsia="宋体" w:hAnsi="宋体" w:cs="宋体" w:hint="eastAsia"/>
        </w:rPr>
        <w:t>∶</w:t>
      </w:r>
      <w:r w:rsidRPr="0071382F">
        <w:t>30</w:t>
      </w:r>
      <w:r w:rsidRPr="0071382F">
        <w:t>以后，除非进入第二阶段的暂停交易，否则交易继续进行。第二阶段，当日</w:t>
      </w:r>
      <w:r w:rsidRPr="0071382F">
        <w:t>DJIA</w:t>
      </w:r>
      <w:r w:rsidRPr="0071382F">
        <w:t>点位比上一个交易日收盘点位下跌</w:t>
      </w:r>
      <w:r w:rsidRPr="0071382F">
        <w:t>1650</w:t>
      </w:r>
      <w:r w:rsidRPr="0071382F">
        <w:t>点时，则暂停交易也分为三种情况：一是若点位下跌发生在下午</w:t>
      </w:r>
      <w:r w:rsidRPr="0071382F">
        <w:t>1</w:t>
      </w:r>
      <w:r w:rsidRPr="0071382F">
        <w:rPr>
          <w:rFonts w:ascii="宋体" w:eastAsia="宋体" w:hAnsi="宋体" w:cs="宋体" w:hint="eastAsia"/>
        </w:rPr>
        <w:t>∶</w:t>
      </w:r>
      <w:r w:rsidRPr="0071382F">
        <w:t>00</w:t>
      </w:r>
      <w:r w:rsidRPr="0071382F">
        <w:t>以前，暂停交易</w:t>
      </w:r>
      <w:r w:rsidRPr="0071382F">
        <w:t>2</w:t>
      </w:r>
      <w:r w:rsidRPr="0071382F">
        <w:t>个小时；二是若点位下跌发生在下午</w:t>
      </w:r>
      <w:r w:rsidRPr="0071382F">
        <w:t>1</w:t>
      </w:r>
      <w:r w:rsidRPr="0071382F">
        <w:rPr>
          <w:rFonts w:ascii="宋体" w:eastAsia="宋体" w:hAnsi="宋体" w:cs="宋体" w:hint="eastAsia"/>
        </w:rPr>
        <w:t>∶</w:t>
      </w:r>
      <w:r w:rsidRPr="0071382F">
        <w:t>00</w:t>
      </w:r>
      <w:r w:rsidRPr="0071382F">
        <w:rPr>
          <w:rFonts w:ascii="Calibri" w:hAnsi="Calibri" w:cs="Calibri"/>
        </w:rPr>
        <w:t>—</w:t>
      </w:r>
      <w:r w:rsidRPr="0071382F">
        <w:t>2</w:t>
      </w:r>
      <w:r w:rsidRPr="0071382F">
        <w:rPr>
          <w:rFonts w:ascii="宋体" w:eastAsia="宋体" w:hAnsi="宋体" w:cs="宋体" w:hint="eastAsia"/>
        </w:rPr>
        <w:t>∶</w:t>
      </w:r>
      <w:r w:rsidRPr="0071382F">
        <w:t>00</w:t>
      </w:r>
      <w:r w:rsidRPr="0071382F">
        <w:t>，则暂停交易</w:t>
      </w:r>
      <w:r w:rsidRPr="0071382F">
        <w:t>1</w:t>
      </w:r>
      <w:r w:rsidRPr="0071382F">
        <w:t>个小时；三是若点位下跌发生在</w:t>
      </w:r>
      <w:r w:rsidRPr="0071382F">
        <w:t>2</w:t>
      </w:r>
      <w:r w:rsidRPr="0071382F">
        <w:rPr>
          <w:rFonts w:ascii="宋体" w:eastAsia="宋体" w:hAnsi="宋体" w:cs="宋体" w:hint="eastAsia"/>
        </w:rPr>
        <w:t>∶</w:t>
      </w:r>
      <w:r w:rsidRPr="0071382F">
        <w:t>00</w:t>
      </w:r>
      <w:r w:rsidRPr="0071382F">
        <w:t>以后，则暂停交易直至闭市。第三阶段，当日</w:t>
      </w:r>
      <w:r w:rsidRPr="0071382F">
        <w:t>DJIA</w:t>
      </w:r>
      <w:r w:rsidRPr="0071382F">
        <w:t>点位比上一个交易日收盘点位下跌</w:t>
      </w:r>
      <w:r w:rsidRPr="0071382F">
        <w:t>2450</w:t>
      </w:r>
      <w:r w:rsidRPr="0071382F">
        <w:t>点时，则立即暂停交易直至闭市。</w:t>
      </w:r>
    </w:p>
    <w:p w:rsidR="0071382F" w:rsidRPr="0071382F" w:rsidRDefault="0071382F" w:rsidP="0071382F">
      <w:r w:rsidRPr="0071382F">
        <w:t> </w:t>
      </w:r>
    </w:p>
    <w:p w:rsidR="0071382F" w:rsidRPr="0071382F" w:rsidRDefault="0071382F" w:rsidP="0071382F">
      <w:r w:rsidRPr="0071382F">
        <w:t>五、程序化交易、算法交易在国内期货市场运用的可行性</w:t>
      </w:r>
    </w:p>
    <w:p w:rsidR="0071382F" w:rsidRPr="0071382F" w:rsidRDefault="0071382F" w:rsidP="0071382F">
      <w:r w:rsidRPr="0071382F">
        <w:t> </w:t>
      </w:r>
    </w:p>
    <w:p w:rsidR="0071382F" w:rsidRPr="0071382F" w:rsidRDefault="0071382F" w:rsidP="0071382F">
      <w:r w:rsidRPr="0071382F">
        <w:lastRenderedPageBreak/>
        <w:t xml:space="preserve">      </w:t>
      </w:r>
      <w:r w:rsidRPr="0071382F">
        <w:t>首先，随着以股指期货为代表的金融衍生品的上市，国内金融市场将出现越来越多的对冲、期现套利、统计套利等较为复杂的交易策略，而这些策略的运用和实施对程序化交易、算法交易提出了更多的需求和更高的要求。</w:t>
      </w:r>
    </w:p>
    <w:p w:rsidR="0071382F" w:rsidRPr="0071382F" w:rsidRDefault="0071382F" w:rsidP="0071382F">
      <w:r w:rsidRPr="0071382F">
        <w:t> </w:t>
      </w:r>
    </w:p>
    <w:p w:rsidR="0071382F" w:rsidRPr="0071382F" w:rsidRDefault="0071382F" w:rsidP="0071382F">
      <w:r w:rsidRPr="0071382F">
        <w:t>其次，程序化交易、算法交易的运用，与金融市场的微观结构密切相关。在国际市场上，随着交易电子化的迅猛发展，主要的成交量也是在交易所以外的电子盘上完成的。因为包括这些电子盘的交易场所非常多，所以才会需要智能路由等算法，也正是由于交易场所太多，市场受到一些轻微的扰动就可能出现大的波动。例如，</w:t>
      </w:r>
      <w:r w:rsidRPr="0071382F">
        <w:t>2010</w:t>
      </w:r>
      <w:r w:rsidRPr="0071382F">
        <w:t>年</w:t>
      </w:r>
      <w:r w:rsidRPr="0071382F">
        <w:t>5</w:t>
      </w:r>
      <w:r w:rsidRPr="0071382F">
        <w:t>月</w:t>
      </w:r>
      <w:r w:rsidRPr="0071382F">
        <w:t>6</w:t>
      </w:r>
      <w:r w:rsidRPr="0071382F">
        <w:t>日美国主要股票市场盘中大跌，监管部门至今仍在寻找明确的引发原因。而国内的证券和期货交易都是在指定的几个交易所内进行，因此，国际市场上的有些交易方式在国内市场并无多大的用武之地，因为国内交易场所比较少，整个市场系统的稳定性也相对较好。</w:t>
      </w:r>
    </w:p>
    <w:p w:rsidR="0071382F" w:rsidRPr="0071382F" w:rsidRDefault="0071382F" w:rsidP="0071382F">
      <w:r w:rsidRPr="0071382F">
        <w:t> </w:t>
      </w:r>
    </w:p>
    <w:p w:rsidR="0071382F" w:rsidRPr="0071382F" w:rsidRDefault="0071382F" w:rsidP="0071382F">
      <w:r w:rsidRPr="0071382F">
        <w:t xml:space="preserve">     </w:t>
      </w:r>
      <w:r w:rsidRPr="0071382F">
        <w:t>再次，在监管方面，国内市场对程序化交易等交易方式非常重视，因此出现问题的可能性比较小，即使出现问题也能比较及时地发现并快速解决。例如，《中国金融期货交易所交易细则》中规定：</w:t>
      </w:r>
      <w:r w:rsidRPr="0071382F">
        <w:t>“</w:t>
      </w:r>
      <w:r w:rsidRPr="0071382F">
        <w:t>会员、客户使用或者会员向客户提供可以通过计算机程序实现自动批量下单或者快速下单等功能的交易软件的，会员应当事先报交易所备案。会员、客户采取可能影响交易所系统安全或者正常交易程序的方式下达交易指令的，交易所可以采取相关措施。</w:t>
      </w:r>
      <w:r w:rsidRPr="0071382F">
        <w:t>”</w:t>
      </w:r>
    </w:p>
    <w:p w:rsidR="0071382F" w:rsidRPr="0071382F" w:rsidRDefault="0071382F" w:rsidP="0071382F">
      <w:r w:rsidRPr="0071382F">
        <w:t> </w:t>
      </w:r>
    </w:p>
    <w:p w:rsidR="0071382F" w:rsidRPr="0071382F" w:rsidRDefault="0071382F" w:rsidP="0071382F">
      <w:r w:rsidRPr="0071382F">
        <w:t xml:space="preserve">     </w:t>
      </w:r>
      <w:r w:rsidRPr="0071382F">
        <w:t>程序化交易在国际市场上已有近</w:t>
      </w:r>
      <w:r w:rsidRPr="0071382F">
        <w:t>40</w:t>
      </w:r>
      <w:r w:rsidRPr="0071382F">
        <w:t>年的发展历史，具备了应用于不同市场和商品交易的可能性。与国际期货市场相比，国内的程序化交易起步较晚，但发展速度和势头非常迅猛。程序化交易最早由国内证券市场起步，近两年在期货市场开始被越来越多的投资者接受，特别是软件商推出程序化交易功能，为短线交易者提供了快捷的下单方式。此外，期货市场的程序化交易模型也正逐步由投资者编制自用，演变为有一定规模的投资咨询顾问组成的专业团队参与。</w:t>
      </w:r>
    </w:p>
    <w:p w:rsidR="0071382F" w:rsidRPr="0071382F" w:rsidRDefault="0071382F" w:rsidP="0071382F">
      <w:r w:rsidRPr="0071382F">
        <w:t> </w:t>
      </w:r>
    </w:p>
    <w:p w:rsidR="0071382F" w:rsidRPr="0071382F" w:rsidRDefault="0071382F" w:rsidP="0071382F">
      <w:r w:rsidRPr="0071382F">
        <w:t xml:space="preserve">     </w:t>
      </w:r>
      <w:r w:rsidRPr="0071382F">
        <w:t>目前，单兵作战的个人投资者和有一定规模的专业团队构成了国内程序化交易模型的供给主体，其中个人投资者占了七成左右。从相关资料来看，目前程序化交易模型已经覆盖了日内交易、波段交易和长线交易的国内商品期货的所有品种。其中，日内交易模型占</w:t>
      </w:r>
      <w:r w:rsidRPr="0071382F">
        <w:t>50%</w:t>
      </w:r>
      <w:r w:rsidRPr="0071382F">
        <w:t>左右，波段交易占了模型的</w:t>
      </w:r>
      <w:r w:rsidRPr="0071382F">
        <w:t>40%</w:t>
      </w:r>
      <w:r w:rsidRPr="0071382F">
        <w:t>左右，适合机构操作的长线交易模型并不多见，而且目前绝大部分的期货交易模型基本上只针对国内的商品期货，应用于外盘的交易模型极少。</w:t>
      </w:r>
    </w:p>
    <w:p w:rsidR="0071382F" w:rsidRPr="0071382F" w:rsidRDefault="0071382F" w:rsidP="0071382F">
      <w:r w:rsidRPr="0071382F">
        <w:t> </w:t>
      </w:r>
    </w:p>
    <w:p w:rsidR="0071382F" w:rsidRPr="0071382F" w:rsidRDefault="0071382F" w:rsidP="0071382F">
      <w:r w:rsidRPr="0071382F">
        <w:t xml:space="preserve">     </w:t>
      </w:r>
      <w:r w:rsidRPr="0071382F">
        <w:t>目前的程序化交易模型的供给可谓五花八门，特别是在某些期货论坛上几乎每天都有大量的新模型在展示，这些模型以个人编写为主，并且基本上都会把相应的测试结果公布出来。有一定规模的团队也会参与其中，但通常会建立独立的网站</w:t>
      </w:r>
      <w:proofErr w:type="gramStart"/>
      <w:r w:rsidRPr="0071382F">
        <w:t>或博客每日</w:t>
      </w:r>
      <w:proofErr w:type="gramEnd"/>
      <w:r w:rsidRPr="0071382F">
        <w:t>公布系统的状况。综合来看，程序化交易供给主体虽然存在着无序、杂乱、缺乏组织的现象，但整体规模不可小视。随着专业化程序编制团队的加盟，这种局面将会改变，未来专业化的期货程序化交易公司或将出现。</w:t>
      </w:r>
    </w:p>
    <w:p w:rsidR="0071382F" w:rsidRPr="0071382F" w:rsidRDefault="0071382F" w:rsidP="0071382F">
      <w:r w:rsidRPr="0071382F">
        <w:t> </w:t>
      </w:r>
    </w:p>
    <w:p w:rsidR="0071382F" w:rsidRPr="0071382F" w:rsidRDefault="0071382F" w:rsidP="0071382F">
      <w:r w:rsidRPr="0071382F">
        <w:t xml:space="preserve">    </w:t>
      </w:r>
      <w:r w:rsidRPr="0071382F">
        <w:t>随着期货市场的发展壮大，市场流动性将大大提高。在这种背景下，中国的程序化交易可能会出现绝对回报程序化交易、金融产品定价程序化交易与做市商程序化交易三种类型同时发展的现象。趋势上来讲，程序化交易会在中国得到更丰富的诠释，可见，程序化交易的大规模发展是建立于成熟的期货市场基础上的。不过，如果不能建立相关市场监管机制和配套措施，则程序化交易也可能产生负面效果。在制定相关政策之前，需要充分考虑当前的市场环境以及未来市场可能的发展前景，同时需要考虑恰当的技术手段，以及市场投资者组成。</w:t>
      </w:r>
    </w:p>
    <w:p w:rsidR="0071382F" w:rsidRPr="0071382F" w:rsidRDefault="0071382F" w:rsidP="0071382F">
      <w:r w:rsidRPr="0071382F">
        <w:lastRenderedPageBreak/>
        <w:t> </w:t>
      </w:r>
    </w:p>
    <w:p w:rsidR="0071382F" w:rsidRPr="0071382F" w:rsidRDefault="0071382F" w:rsidP="0071382F">
      <w:r w:rsidRPr="0071382F">
        <w:t>六：程序化交易需要配套的市场机制</w:t>
      </w:r>
    </w:p>
    <w:p w:rsidR="0071382F" w:rsidRPr="0071382F" w:rsidRDefault="0071382F" w:rsidP="0071382F">
      <w:r w:rsidRPr="0071382F">
        <w:t> </w:t>
      </w:r>
    </w:p>
    <w:p w:rsidR="0071382F" w:rsidRPr="0071382F" w:rsidRDefault="0071382F" w:rsidP="0071382F">
      <w:r w:rsidRPr="0071382F">
        <w:t xml:space="preserve">     </w:t>
      </w:r>
      <w:r w:rsidRPr="0071382F">
        <w:t>一个成熟的期货市场包括诸多方面，市场参与结构的成熟、相关制度建设的成熟、品种设计的成熟和监管措施的成熟等等。对于程序化交易而言，能够最大程度有效发挥程序化交易效率的前提是拥有一个相对成熟健康的期货市场，因此，需要在成熟市场建设方面配套相关措施。</w:t>
      </w:r>
    </w:p>
    <w:p w:rsidR="0071382F" w:rsidRPr="0071382F" w:rsidRDefault="0071382F" w:rsidP="0071382F">
      <w:r w:rsidRPr="0071382F">
        <w:t> </w:t>
      </w:r>
    </w:p>
    <w:p w:rsidR="0071382F" w:rsidRPr="0071382F" w:rsidRDefault="0071382F" w:rsidP="0071382F">
      <w:r w:rsidRPr="0071382F">
        <w:t xml:space="preserve">      </w:t>
      </w:r>
      <w:r w:rsidRPr="0071382F">
        <w:t>首先，建立完善的自上而下的监控措施。目前，我国实行的监控措施包含多个层次：监管当局从政府层面，通过颁布各项法律法规来规范投资者行为，规范经纪商行为，从法律上杜绝违法违规行为的出现。行业协会从自律角度来规范市场参与各方的行为，达到监控目的。经纪商从</w:t>
      </w:r>
      <w:proofErr w:type="gramStart"/>
      <w:r w:rsidRPr="0071382F">
        <w:t>风控角度</w:t>
      </w:r>
      <w:proofErr w:type="gramEnd"/>
      <w:r w:rsidRPr="0071382F">
        <w:t>来对投资者的交易行为进行一定程度的监控，一旦发现问题则及时提示风险，并积极采取应对措施。此外，还有市场参与的其他层面，比如期货保证金监控中心等。只要每个市场参与方都努力通过行为规范来参与和建立市场整体的监控体系，这些措施又尽可能地不要阻碍市场的健康平稳运行，那么，程序化交易就会在一个相对健康、公平的市场环境中发挥最大效率。</w:t>
      </w:r>
    </w:p>
    <w:p w:rsidR="0071382F" w:rsidRPr="0071382F" w:rsidRDefault="0071382F" w:rsidP="0071382F">
      <w:r w:rsidRPr="0071382F">
        <w:t> </w:t>
      </w:r>
    </w:p>
    <w:p w:rsidR="0071382F" w:rsidRPr="0071382F" w:rsidRDefault="0071382F" w:rsidP="0071382F">
      <w:r w:rsidRPr="0071382F">
        <w:t xml:space="preserve">     </w:t>
      </w:r>
      <w:r w:rsidRPr="0071382F">
        <w:t>其次，提倡交易指令和报价系统的创新，积极推出有利于程序化交易的新机制。目前，我国的交易指令比较单一，投资者大多数情况下只能选择套</w:t>
      </w:r>
      <w:proofErr w:type="gramStart"/>
      <w:r w:rsidRPr="0071382F">
        <w:t>保或者</w:t>
      </w:r>
      <w:proofErr w:type="gramEnd"/>
      <w:r w:rsidRPr="0071382F">
        <w:t>投机两种交易策略，虽然已有郑商所和大商所推出的跨期套利交易指令和</w:t>
      </w:r>
      <w:proofErr w:type="gramStart"/>
      <w:r w:rsidRPr="0071382F">
        <w:t>跨品种</w:t>
      </w:r>
      <w:proofErr w:type="gramEnd"/>
      <w:r w:rsidRPr="0071382F">
        <w:t>套利交易指令，但依然缺乏与程序化交易相对应的更多交易指令。而在国外成熟市场，几乎都有专门用于程序化交易的指令，比如</w:t>
      </w:r>
      <w:r w:rsidRPr="0071382F">
        <w:t>NASDAQ Level</w:t>
      </w:r>
      <w:r w:rsidRPr="0071382F">
        <w:t>系列报价系统。国内期市整体步伐显然落后，这对于程序化交易的推广不利。</w:t>
      </w:r>
    </w:p>
    <w:p w:rsidR="0071382F" w:rsidRPr="0071382F" w:rsidRDefault="0071382F" w:rsidP="0071382F">
      <w:r w:rsidRPr="0071382F">
        <w:t> </w:t>
      </w:r>
    </w:p>
    <w:p w:rsidR="0071382F" w:rsidRPr="0071382F" w:rsidRDefault="0071382F" w:rsidP="0071382F">
      <w:r w:rsidRPr="0071382F">
        <w:t xml:space="preserve">     </w:t>
      </w:r>
      <w:r w:rsidRPr="0071382F">
        <w:t>此外，由于程序化交易对于交易成本和交易时间都有较高要求，可以考虑在保证金单边收取、交易跑道的畅通等方面做出努力。</w:t>
      </w:r>
    </w:p>
    <w:p w:rsidR="0071382F" w:rsidRPr="0071382F" w:rsidRDefault="0071382F" w:rsidP="0071382F">
      <w:r w:rsidRPr="0071382F">
        <w:t> </w:t>
      </w:r>
    </w:p>
    <w:p w:rsidR="0071382F" w:rsidRPr="0071382F" w:rsidRDefault="0071382F" w:rsidP="0071382F">
      <w:r w:rsidRPr="0071382F">
        <w:t>七：程序化交易需要大量机构投资者参与</w:t>
      </w:r>
    </w:p>
    <w:p w:rsidR="0071382F" w:rsidRPr="0071382F" w:rsidRDefault="0071382F" w:rsidP="0071382F">
      <w:r w:rsidRPr="0071382F">
        <w:t> </w:t>
      </w:r>
    </w:p>
    <w:p w:rsidR="0071382F" w:rsidRPr="0071382F" w:rsidRDefault="0071382F" w:rsidP="0071382F">
      <w:r w:rsidRPr="0071382F">
        <w:t xml:space="preserve">     </w:t>
      </w:r>
      <w:r w:rsidRPr="0071382F">
        <w:t>在国际成熟期货市场，机构投资者是程序化交易的主体。目前，我国期货市场投资者结构不尽合理，个人占了绝大多数，法人机构和企业参与量较少，专业从事程序化交易的法人机构更是十分缺乏。在这样的情况下，市场整体的交易效率发挥存在一定障碍。程序化交易对于市场环境要求较高，越是成熟的市场，其发挥的效率越大。因此，引导和建立合理的投资者结构是当务之急，可以考虑通过立法等方式，让期货基金合法化，考虑在期货市场引入</w:t>
      </w:r>
      <w:r w:rsidRPr="0071382F">
        <w:t>QFII</w:t>
      </w:r>
      <w:r w:rsidRPr="0071382F">
        <w:t>等，大力培养合格机构投资者，使国内期货市场投资者结构趋于合理。反过来说，大力发展程序化交易可以培养期货市场机构投资者。两者相辅相成，可以令市场更快走向成熟。</w:t>
      </w:r>
    </w:p>
    <w:p w:rsidR="0071382F" w:rsidRPr="0071382F" w:rsidRDefault="0071382F" w:rsidP="0071382F">
      <w:r w:rsidRPr="0071382F">
        <w:t> </w:t>
      </w:r>
    </w:p>
    <w:p w:rsidR="0071382F" w:rsidRPr="0071382F" w:rsidRDefault="0071382F" w:rsidP="0071382F">
      <w:r w:rsidRPr="0071382F">
        <w:t>八：技术创新和加大投入是程序化交易成功的前提</w:t>
      </w:r>
    </w:p>
    <w:p w:rsidR="0071382F" w:rsidRPr="0071382F" w:rsidRDefault="0071382F" w:rsidP="0071382F">
      <w:r w:rsidRPr="0071382F">
        <w:t> </w:t>
      </w:r>
    </w:p>
    <w:p w:rsidR="0071382F" w:rsidRPr="0071382F" w:rsidRDefault="0071382F" w:rsidP="0071382F">
      <w:r w:rsidRPr="0071382F">
        <w:t xml:space="preserve">     </w:t>
      </w:r>
      <w:r w:rsidRPr="0071382F">
        <w:t>技术是程序化交易发展之本。加大技术创新和投入，不仅可以提高市场整体的效率，而且可以令程序化交易效率提高更快。而目前国内普遍存在的状况是，期货公司受成本投入限制，在技术方面投入不够，国内在程序化交易方面的技术创新步伐仍有待提高。不过，随着股指期货的推出，国内期货行业重新洗牌，预计今后在技术投入和创新方面会有更多的动作。从管理层角度讲，也应该积极鼓励期货公司技术创新，并在全行业推广先进的技术手段和管</w:t>
      </w:r>
      <w:r w:rsidRPr="0071382F">
        <w:lastRenderedPageBreak/>
        <w:t>理经验。</w:t>
      </w:r>
    </w:p>
    <w:p w:rsidR="0071382F" w:rsidRPr="0071382F" w:rsidRDefault="0071382F" w:rsidP="0071382F">
      <w:r w:rsidRPr="0071382F">
        <w:t> </w:t>
      </w:r>
    </w:p>
    <w:p w:rsidR="0071382F" w:rsidRPr="0071382F" w:rsidRDefault="0071382F" w:rsidP="0071382F">
      <w:r w:rsidRPr="0071382F">
        <w:t>九：强化协会自律管理职能</w:t>
      </w:r>
    </w:p>
    <w:p w:rsidR="0071382F" w:rsidRPr="0071382F" w:rsidRDefault="0071382F" w:rsidP="0071382F">
      <w:r w:rsidRPr="0071382F">
        <w:t> </w:t>
      </w:r>
    </w:p>
    <w:p w:rsidR="0071382F" w:rsidRPr="0071382F" w:rsidRDefault="0071382F" w:rsidP="0071382F">
      <w:r w:rsidRPr="0071382F">
        <w:t xml:space="preserve">     </w:t>
      </w:r>
      <w:r w:rsidRPr="0071382F">
        <w:t>程序化交易需要相关的市场配套机制，而在监管层面，行业协会的自律管理是非常重要的一部分。自律不仅包括监管的目的，还应该包含在未来的方向指引和法律法规的颁布中。比如，在国外培育</w:t>
      </w:r>
      <w:r w:rsidRPr="0071382F">
        <w:t>CTA</w:t>
      </w:r>
      <w:r w:rsidRPr="0071382F">
        <w:t>是非常普遍的现象。所谓</w:t>
      </w:r>
      <w:r w:rsidRPr="0071382F">
        <w:t>CTA</w:t>
      </w:r>
      <w:r w:rsidRPr="0071382F">
        <w:t>，最初代指交易商品期货的投资顾问和商品投资基金，而今在期货投资领域，已经全面代指交易商品或交易金融衍生产品的投资顾问，以及以商品期货或金融衍生产品为投资对象的期货投资基金，即管理型期货。他们实际上属于期货基金范畴，通过管理一定规模的资产来进行专业理财，交易方式绝大多数采用程序化交易方式，并通过计算机的程序化运作来达到自律监管的目的。</w:t>
      </w:r>
    </w:p>
    <w:p w:rsidR="0071382F" w:rsidRPr="0071382F" w:rsidRDefault="0071382F" w:rsidP="0071382F">
      <w:r w:rsidRPr="0071382F">
        <w:t> </w:t>
      </w:r>
    </w:p>
    <w:p w:rsidR="0071382F" w:rsidRPr="0071382F" w:rsidRDefault="0071382F" w:rsidP="0071382F">
      <w:r w:rsidRPr="0071382F">
        <w:t xml:space="preserve">    </w:t>
      </w:r>
      <w:r w:rsidRPr="0071382F">
        <w:t>在我国，</w:t>
      </w:r>
      <w:r w:rsidRPr="0071382F">
        <w:t>CTA</w:t>
      </w:r>
      <w:r w:rsidRPr="0071382F">
        <w:t>的功能已经为市场所熟知，但关于</w:t>
      </w:r>
      <w:r w:rsidRPr="0071382F">
        <w:t>CTA</w:t>
      </w:r>
      <w:r w:rsidRPr="0071382F">
        <w:t>制度的建设却一直没有太大进展。大力培育中国的</w:t>
      </w:r>
      <w:r w:rsidRPr="0071382F">
        <w:t>CTA</w:t>
      </w:r>
      <w:r w:rsidRPr="0071382F">
        <w:t>队伍对于程序化交易效率的发挥也将带来积极有效的作用。我们可以通过建立合理有效的法律法规制度来规范</w:t>
      </w:r>
      <w:r w:rsidRPr="0071382F">
        <w:t>CTA</w:t>
      </w:r>
      <w:r w:rsidRPr="0071382F">
        <w:t>的行为，然后通过</w:t>
      </w:r>
      <w:r w:rsidRPr="0071382F">
        <w:t>CTA</w:t>
      </w:r>
      <w:r w:rsidRPr="0071382F">
        <w:t>来引导投资者理性投资，进而达到市场效率充分发挥的目的。</w:t>
      </w:r>
    </w:p>
    <w:p w:rsidR="0071382F" w:rsidRPr="0071382F" w:rsidRDefault="0071382F" w:rsidP="0071382F">
      <w:r w:rsidRPr="0071382F">
        <w:t> </w:t>
      </w:r>
    </w:p>
    <w:p w:rsidR="0071382F" w:rsidRPr="0071382F" w:rsidRDefault="0071382F" w:rsidP="0071382F">
      <w:r w:rsidRPr="0071382F">
        <w:t xml:space="preserve">    </w:t>
      </w:r>
      <w:r w:rsidRPr="0071382F">
        <w:t>我们认为，程序化交易对于发挥期货市场的效率是非常有效的，尽管其中也存在一些问题，但只要在制度建设以及市场机制建设等方面做好充分准备，避免人为因素的出现，程序化交易的负面影响就可以降低。从全球期货市场发展规律来看，程序化交易必将成为未来投资的主流。</w:t>
      </w:r>
    </w:p>
    <w:p w:rsidR="00BD74CE" w:rsidRDefault="00BD74CE"/>
    <w:p w:rsidR="0071382F" w:rsidRDefault="0071382F"/>
    <w:p w:rsidR="0071382F" w:rsidRPr="0071382F" w:rsidRDefault="0071382F">
      <w:r>
        <w:rPr>
          <w:rFonts w:hint="eastAsia"/>
        </w:rPr>
        <w:t>转自：</w:t>
      </w:r>
      <w:hyperlink r:id="rId7" w:history="1">
        <w:r w:rsidRPr="002F7207">
          <w:rPr>
            <w:rStyle w:val="a3"/>
          </w:rPr>
          <w:t>http://q.weibo.com/1438561/article/t9j1fS8</w:t>
        </w:r>
      </w:hyperlink>
      <w:r>
        <w:rPr>
          <w:rFonts w:hint="eastAsia"/>
        </w:rPr>
        <w:t xml:space="preserve">   </w:t>
      </w:r>
    </w:p>
    <w:sectPr w:rsidR="0071382F" w:rsidRPr="0071382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A09" w:rsidRDefault="00344A09" w:rsidP="00B20C01">
      <w:r>
        <w:separator/>
      </w:r>
    </w:p>
  </w:endnote>
  <w:endnote w:type="continuationSeparator" w:id="0">
    <w:p w:rsidR="00344A09" w:rsidRDefault="00344A09" w:rsidP="00B20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A09" w:rsidRDefault="00344A09" w:rsidP="00B20C01">
      <w:r>
        <w:separator/>
      </w:r>
    </w:p>
  </w:footnote>
  <w:footnote w:type="continuationSeparator" w:id="0">
    <w:p w:rsidR="00344A09" w:rsidRDefault="00344A09" w:rsidP="00B20C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5CE"/>
    <w:rsid w:val="00344A09"/>
    <w:rsid w:val="006A45CE"/>
    <w:rsid w:val="0071382F"/>
    <w:rsid w:val="00B20C01"/>
    <w:rsid w:val="00BD7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B20C0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1382F"/>
    <w:rPr>
      <w:color w:val="0000FF" w:themeColor="hyperlink"/>
      <w:u w:val="single"/>
    </w:rPr>
  </w:style>
  <w:style w:type="paragraph" w:styleId="a4">
    <w:name w:val="header"/>
    <w:basedOn w:val="a"/>
    <w:link w:val="Char"/>
    <w:uiPriority w:val="99"/>
    <w:unhideWhenUsed/>
    <w:rsid w:val="00B20C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B20C01"/>
    <w:rPr>
      <w:sz w:val="18"/>
      <w:szCs w:val="18"/>
    </w:rPr>
  </w:style>
  <w:style w:type="paragraph" w:styleId="a5">
    <w:name w:val="footer"/>
    <w:basedOn w:val="a"/>
    <w:link w:val="Char0"/>
    <w:uiPriority w:val="99"/>
    <w:unhideWhenUsed/>
    <w:rsid w:val="00B20C01"/>
    <w:pPr>
      <w:tabs>
        <w:tab w:val="center" w:pos="4153"/>
        <w:tab w:val="right" w:pos="8306"/>
      </w:tabs>
      <w:snapToGrid w:val="0"/>
      <w:jc w:val="left"/>
    </w:pPr>
    <w:rPr>
      <w:sz w:val="18"/>
      <w:szCs w:val="18"/>
    </w:rPr>
  </w:style>
  <w:style w:type="character" w:customStyle="1" w:styleId="Char0">
    <w:name w:val="页脚 Char"/>
    <w:basedOn w:val="a0"/>
    <w:link w:val="a5"/>
    <w:uiPriority w:val="99"/>
    <w:rsid w:val="00B20C01"/>
    <w:rPr>
      <w:sz w:val="18"/>
      <w:szCs w:val="18"/>
    </w:rPr>
  </w:style>
  <w:style w:type="character" w:customStyle="1" w:styleId="1Char">
    <w:name w:val="标题 1 Char"/>
    <w:basedOn w:val="a0"/>
    <w:link w:val="1"/>
    <w:uiPriority w:val="9"/>
    <w:rsid w:val="00B20C01"/>
    <w:rPr>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B20C0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1382F"/>
    <w:rPr>
      <w:color w:val="0000FF" w:themeColor="hyperlink"/>
      <w:u w:val="single"/>
    </w:rPr>
  </w:style>
  <w:style w:type="paragraph" w:styleId="a4">
    <w:name w:val="header"/>
    <w:basedOn w:val="a"/>
    <w:link w:val="Char"/>
    <w:uiPriority w:val="99"/>
    <w:unhideWhenUsed/>
    <w:rsid w:val="00B20C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B20C01"/>
    <w:rPr>
      <w:sz w:val="18"/>
      <w:szCs w:val="18"/>
    </w:rPr>
  </w:style>
  <w:style w:type="paragraph" w:styleId="a5">
    <w:name w:val="footer"/>
    <w:basedOn w:val="a"/>
    <w:link w:val="Char0"/>
    <w:uiPriority w:val="99"/>
    <w:unhideWhenUsed/>
    <w:rsid w:val="00B20C01"/>
    <w:pPr>
      <w:tabs>
        <w:tab w:val="center" w:pos="4153"/>
        <w:tab w:val="right" w:pos="8306"/>
      </w:tabs>
      <w:snapToGrid w:val="0"/>
      <w:jc w:val="left"/>
    </w:pPr>
    <w:rPr>
      <w:sz w:val="18"/>
      <w:szCs w:val="18"/>
    </w:rPr>
  </w:style>
  <w:style w:type="character" w:customStyle="1" w:styleId="Char0">
    <w:name w:val="页脚 Char"/>
    <w:basedOn w:val="a0"/>
    <w:link w:val="a5"/>
    <w:uiPriority w:val="99"/>
    <w:rsid w:val="00B20C01"/>
    <w:rPr>
      <w:sz w:val="18"/>
      <w:szCs w:val="18"/>
    </w:rPr>
  </w:style>
  <w:style w:type="character" w:customStyle="1" w:styleId="1Char">
    <w:name w:val="标题 1 Char"/>
    <w:basedOn w:val="a0"/>
    <w:link w:val="1"/>
    <w:uiPriority w:val="9"/>
    <w:rsid w:val="00B20C0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259136">
      <w:bodyDiv w:val="1"/>
      <w:marLeft w:val="0"/>
      <w:marRight w:val="0"/>
      <w:marTop w:val="0"/>
      <w:marBottom w:val="0"/>
      <w:divBdr>
        <w:top w:val="none" w:sz="0" w:space="0" w:color="auto"/>
        <w:left w:val="none" w:sz="0" w:space="0" w:color="auto"/>
        <w:bottom w:val="none" w:sz="0" w:space="0" w:color="auto"/>
        <w:right w:val="none" w:sz="0" w:space="0" w:color="auto"/>
      </w:divBdr>
      <w:divsChild>
        <w:div w:id="1812137671">
          <w:marLeft w:val="0"/>
          <w:marRight w:val="0"/>
          <w:marTop w:val="0"/>
          <w:marBottom w:val="0"/>
          <w:divBdr>
            <w:top w:val="none" w:sz="0" w:space="0" w:color="auto"/>
            <w:left w:val="none" w:sz="0" w:space="0" w:color="auto"/>
            <w:bottom w:val="none" w:sz="0" w:space="0" w:color="auto"/>
            <w:right w:val="none" w:sz="0" w:space="0" w:color="auto"/>
          </w:divBdr>
          <w:divsChild>
            <w:div w:id="836001207">
              <w:marLeft w:val="0"/>
              <w:marRight w:val="0"/>
              <w:marTop w:val="0"/>
              <w:marBottom w:val="0"/>
              <w:divBdr>
                <w:top w:val="none" w:sz="0" w:space="0" w:color="auto"/>
                <w:left w:val="none" w:sz="0" w:space="0" w:color="auto"/>
                <w:bottom w:val="none" w:sz="0" w:space="0" w:color="auto"/>
                <w:right w:val="none" w:sz="0" w:space="0" w:color="auto"/>
              </w:divBdr>
              <w:divsChild>
                <w:div w:id="303200990">
                  <w:marLeft w:val="0"/>
                  <w:marRight w:val="0"/>
                  <w:marTop w:val="0"/>
                  <w:marBottom w:val="0"/>
                  <w:divBdr>
                    <w:top w:val="none" w:sz="0" w:space="0" w:color="auto"/>
                    <w:left w:val="none" w:sz="0" w:space="0" w:color="auto"/>
                    <w:bottom w:val="none" w:sz="0" w:space="0" w:color="auto"/>
                    <w:right w:val="none" w:sz="0" w:space="0" w:color="auto"/>
                  </w:divBdr>
                  <w:divsChild>
                    <w:div w:id="2074426676">
                      <w:marLeft w:val="0"/>
                      <w:marRight w:val="0"/>
                      <w:marTop w:val="0"/>
                      <w:marBottom w:val="0"/>
                      <w:divBdr>
                        <w:top w:val="none" w:sz="0" w:space="0" w:color="auto"/>
                        <w:left w:val="none" w:sz="0" w:space="0" w:color="auto"/>
                        <w:bottom w:val="none" w:sz="0" w:space="0" w:color="auto"/>
                        <w:right w:val="none" w:sz="0" w:space="0" w:color="auto"/>
                      </w:divBdr>
                      <w:divsChild>
                        <w:div w:id="1843399390">
                          <w:marLeft w:val="0"/>
                          <w:marRight w:val="0"/>
                          <w:marTop w:val="0"/>
                          <w:marBottom w:val="0"/>
                          <w:divBdr>
                            <w:top w:val="none" w:sz="0" w:space="0" w:color="auto"/>
                            <w:left w:val="none" w:sz="0" w:space="0" w:color="auto"/>
                            <w:bottom w:val="none" w:sz="0" w:space="0" w:color="auto"/>
                            <w:right w:val="none" w:sz="0" w:space="0" w:color="auto"/>
                          </w:divBdr>
                          <w:divsChild>
                            <w:div w:id="1077433159">
                              <w:marLeft w:val="0"/>
                              <w:marRight w:val="0"/>
                              <w:marTop w:val="0"/>
                              <w:marBottom w:val="0"/>
                              <w:divBdr>
                                <w:top w:val="none" w:sz="0" w:space="0" w:color="auto"/>
                                <w:left w:val="none" w:sz="0" w:space="0" w:color="auto"/>
                                <w:bottom w:val="none" w:sz="0" w:space="0" w:color="auto"/>
                                <w:right w:val="none" w:sz="0" w:space="0" w:color="auto"/>
                              </w:divBdr>
                              <w:divsChild>
                                <w:div w:id="300887568">
                                  <w:marLeft w:val="450"/>
                                  <w:marRight w:val="450"/>
                                  <w:marTop w:val="300"/>
                                  <w:marBottom w:val="225"/>
                                  <w:divBdr>
                                    <w:top w:val="none" w:sz="0" w:space="0" w:color="auto"/>
                                    <w:left w:val="none" w:sz="0" w:space="0" w:color="auto"/>
                                    <w:bottom w:val="single" w:sz="6" w:space="11" w:color="DDDDDD"/>
                                    <w:right w:val="none" w:sz="0" w:space="0" w:color="auto"/>
                                  </w:divBdr>
                                  <w:divsChild>
                                    <w:div w:id="1481385760">
                                      <w:marLeft w:val="0"/>
                                      <w:marRight w:val="0"/>
                                      <w:marTop w:val="0"/>
                                      <w:marBottom w:val="0"/>
                                      <w:divBdr>
                                        <w:top w:val="none" w:sz="0" w:space="0" w:color="auto"/>
                                        <w:left w:val="none" w:sz="0" w:space="0" w:color="auto"/>
                                        <w:bottom w:val="none" w:sz="0" w:space="0" w:color="auto"/>
                                        <w:right w:val="none" w:sz="0" w:space="0" w:color="auto"/>
                                      </w:divBdr>
                                      <w:divsChild>
                                        <w:div w:id="608001623">
                                          <w:marLeft w:val="0"/>
                                          <w:marRight w:val="0"/>
                                          <w:marTop w:val="0"/>
                                          <w:marBottom w:val="0"/>
                                          <w:divBdr>
                                            <w:top w:val="none" w:sz="0" w:space="0" w:color="auto"/>
                                            <w:left w:val="none" w:sz="0" w:space="0" w:color="auto"/>
                                            <w:bottom w:val="none" w:sz="0" w:space="0" w:color="auto"/>
                                            <w:right w:val="none" w:sz="0" w:space="0" w:color="auto"/>
                                          </w:divBdr>
                                          <w:divsChild>
                                            <w:div w:id="161266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2059830">
      <w:bodyDiv w:val="1"/>
      <w:marLeft w:val="0"/>
      <w:marRight w:val="0"/>
      <w:marTop w:val="0"/>
      <w:marBottom w:val="0"/>
      <w:divBdr>
        <w:top w:val="none" w:sz="0" w:space="0" w:color="auto"/>
        <w:left w:val="none" w:sz="0" w:space="0" w:color="auto"/>
        <w:bottom w:val="none" w:sz="0" w:space="0" w:color="auto"/>
        <w:right w:val="none" w:sz="0" w:space="0" w:color="auto"/>
      </w:divBdr>
      <w:divsChild>
        <w:div w:id="1467971641">
          <w:marLeft w:val="0"/>
          <w:marRight w:val="0"/>
          <w:marTop w:val="0"/>
          <w:marBottom w:val="0"/>
          <w:divBdr>
            <w:top w:val="none" w:sz="0" w:space="0" w:color="auto"/>
            <w:left w:val="none" w:sz="0" w:space="0" w:color="auto"/>
            <w:bottom w:val="none" w:sz="0" w:space="0" w:color="auto"/>
            <w:right w:val="none" w:sz="0" w:space="0" w:color="auto"/>
          </w:divBdr>
          <w:divsChild>
            <w:div w:id="2140877566">
              <w:marLeft w:val="0"/>
              <w:marRight w:val="0"/>
              <w:marTop w:val="0"/>
              <w:marBottom w:val="0"/>
              <w:divBdr>
                <w:top w:val="none" w:sz="0" w:space="0" w:color="auto"/>
                <w:left w:val="none" w:sz="0" w:space="0" w:color="auto"/>
                <w:bottom w:val="none" w:sz="0" w:space="0" w:color="auto"/>
                <w:right w:val="none" w:sz="0" w:space="0" w:color="auto"/>
              </w:divBdr>
              <w:divsChild>
                <w:div w:id="12195178">
                  <w:marLeft w:val="0"/>
                  <w:marRight w:val="0"/>
                  <w:marTop w:val="0"/>
                  <w:marBottom w:val="0"/>
                  <w:divBdr>
                    <w:top w:val="none" w:sz="0" w:space="0" w:color="auto"/>
                    <w:left w:val="none" w:sz="0" w:space="0" w:color="auto"/>
                    <w:bottom w:val="none" w:sz="0" w:space="0" w:color="auto"/>
                    <w:right w:val="none" w:sz="0" w:space="0" w:color="auto"/>
                  </w:divBdr>
                  <w:divsChild>
                    <w:div w:id="172764246">
                      <w:marLeft w:val="0"/>
                      <w:marRight w:val="0"/>
                      <w:marTop w:val="0"/>
                      <w:marBottom w:val="0"/>
                      <w:divBdr>
                        <w:top w:val="none" w:sz="0" w:space="0" w:color="auto"/>
                        <w:left w:val="none" w:sz="0" w:space="0" w:color="auto"/>
                        <w:bottom w:val="none" w:sz="0" w:space="0" w:color="auto"/>
                        <w:right w:val="none" w:sz="0" w:space="0" w:color="auto"/>
                      </w:divBdr>
                      <w:divsChild>
                        <w:div w:id="1088765943">
                          <w:marLeft w:val="0"/>
                          <w:marRight w:val="0"/>
                          <w:marTop w:val="0"/>
                          <w:marBottom w:val="0"/>
                          <w:divBdr>
                            <w:top w:val="none" w:sz="0" w:space="0" w:color="auto"/>
                            <w:left w:val="none" w:sz="0" w:space="0" w:color="auto"/>
                            <w:bottom w:val="none" w:sz="0" w:space="0" w:color="auto"/>
                            <w:right w:val="none" w:sz="0" w:space="0" w:color="auto"/>
                          </w:divBdr>
                          <w:divsChild>
                            <w:div w:id="1928346583">
                              <w:marLeft w:val="0"/>
                              <w:marRight w:val="0"/>
                              <w:marTop w:val="0"/>
                              <w:marBottom w:val="0"/>
                              <w:divBdr>
                                <w:top w:val="none" w:sz="0" w:space="0" w:color="auto"/>
                                <w:left w:val="none" w:sz="0" w:space="0" w:color="auto"/>
                                <w:bottom w:val="none" w:sz="0" w:space="0" w:color="auto"/>
                                <w:right w:val="none" w:sz="0" w:space="0" w:color="auto"/>
                              </w:divBdr>
                              <w:divsChild>
                                <w:div w:id="409815405">
                                  <w:marLeft w:val="450"/>
                                  <w:marRight w:val="450"/>
                                  <w:marTop w:val="300"/>
                                  <w:marBottom w:val="225"/>
                                  <w:divBdr>
                                    <w:top w:val="none" w:sz="0" w:space="0" w:color="auto"/>
                                    <w:left w:val="none" w:sz="0" w:space="0" w:color="auto"/>
                                    <w:bottom w:val="single" w:sz="6" w:space="11" w:color="DDDDDD"/>
                                    <w:right w:val="none" w:sz="0" w:space="0" w:color="auto"/>
                                  </w:divBdr>
                                  <w:divsChild>
                                    <w:div w:id="769474698">
                                      <w:marLeft w:val="0"/>
                                      <w:marRight w:val="0"/>
                                      <w:marTop w:val="0"/>
                                      <w:marBottom w:val="0"/>
                                      <w:divBdr>
                                        <w:top w:val="none" w:sz="0" w:space="0" w:color="auto"/>
                                        <w:left w:val="none" w:sz="0" w:space="0" w:color="auto"/>
                                        <w:bottom w:val="none" w:sz="0" w:space="0" w:color="auto"/>
                                        <w:right w:val="none" w:sz="0" w:space="0" w:color="auto"/>
                                      </w:divBdr>
                                      <w:divsChild>
                                        <w:div w:id="255140661">
                                          <w:marLeft w:val="0"/>
                                          <w:marRight w:val="0"/>
                                          <w:marTop w:val="0"/>
                                          <w:marBottom w:val="0"/>
                                          <w:divBdr>
                                            <w:top w:val="none" w:sz="0" w:space="0" w:color="auto"/>
                                            <w:left w:val="none" w:sz="0" w:space="0" w:color="auto"/>
                                            <w:bottom w:val="none" w:sz="0" w:space="0" w:color="auto"/>
                                            <w:right w:val="none" w:sz="0" w:space="0" w:color="auto"/>
                                          </w:divBdr>
                                          <w:divsChild>
                                            <w:div w:id="121230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q.weibo.com/1438561/article/t9j1fS8"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1118</Words>
  <Characters>6379</Characters>
  <Application>Microsoft Office Word</Application>
  <DocSecurity>0</DocSecurity>
  <Lines>53</Lines>
  <Paragraphs>14</Paragraphs>
  <ScaleCrop>false</ScaleCrop>
  <Company>微软中国</Company>
  <LinksUpToDate>false</LinksUpToDate>
  <CharactersWithSpaces>7483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del</cp:lastModifiedBy>
  <cp:revision>4</cp:revision>
  <dcterms:created xsi:type="dcterms:W3CDTF">2012-05-31T05:00:00Z</dcterms:created>
  <dcterms:modified xsi:type="dcterms:W3CDTF">2012-08-19T11:57:00Z</dcterms:modified>
</cp:coreProperties>
</file>